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5" w:rsidRPr="00EB7845" w:rsidRDefault="00EB7845" w:rsidP="00EB7845">
      <w:r w:rsidRPr="00EB7845">
        <w:rPr>
          <w:b/>
          <w:bCs/>
        </w:rPr>
        <w:t>Complete </w:t>
      </w:r>
      <w:r w:rsidRPr="00EB7845">
        <w:t>the following </w:t>
      </w:r>
      <w:proofErr w:type="spellStart"/>
      <w:r w:rsidRPr="00EB7845">
        <w:fldChar w:fldCharType="begin"/>
      </w:r>
      <w:r w:rsidRPr="00EB7845">
        <w:instrText xml:space="preserve"> HYPERLINK "https://ecampus.phoenix.edu/secure/aapd/UC/CJ/CJ_Interactive.htm" \t "_blank" </w:instrText>
      </w:r>
      <w:r w:rsidRPr="00EB7845">
        <w:fldChar w:fldCharType="separate"/>
      </w:r>
      <w:r w:rsidRPr="00EB7845">
        <w:rPr>
          <w:rStyle w:val="Hyperlink"/>
        </w:rPr>
        <w:t>CJi</w:t>
      </w:r>
      <w:proofErr w:type="spellEnd"/>
      <w:r w:rsidRPr="00EB7845">
        <w:rPr>
          <w:rStyle w:val="Hyperlink"/>
        </w:rPr>
        <w:t xml:space="preserve"> Interactive</w:t>
      </w:r>
      <w:r w:rsidRPr="00EB7845">
        <w:fldChar w:fldCharType="end"/>
      </w:r>
      <w:r w:rsidRPr="00EB7845">
        <w:t> activities: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1: The Criminal Justice System &gt; Learning Modules &gt; Criminal Justice Process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4: Criminal Law &gt; Learning Modules &gt; Crime Elements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 xml:space="preserve">Chapter 4: Criminal Law &gt; Learning Modules &gt; Legal </w:t>
      </w:r>
      <w:proofErr w:type="spellStart"/>
      <w:r w:rsidRPr="00EB7845">
        <w:t>Defenses</w:t>
      </w:r>
      <w:proofErr w:type="spellEnd"/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 xml:space="preserve">Chapter 4: Criminal Law &gt; Myths &amp; Issues Videos &gt; Myth v. Reality: The Insanity </w:t>
      </w:r>
      <w:proofErr w:type="spellStart"/>
      <w:r w:rsidRPr="00EB7845">
        <w:t>Defense</w:t>
      </w:r>
      <w:proofErr w:type="spellEnd"/>
      <w:r w:rsidRPr="00EB7845">
        <w:t xml:space="preserve"> is often used Successfully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6: Police and the Constitution &gt; Myths &amp; Issues Videos &gt; Myth v. Reality: The Miranda Warnings have to be Read Immediately Upon Arrest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8: The Courts: History, Structure, and Key Players &gt; Learning Modules &gt; Types of Witnesses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Post-Arrest Activities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The Bail System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The Pros and Cons of Plea Bargaining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Steps in the Trial Process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Rights at Trial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Learning Modules &gt; Jury Deliberation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Myths &amp; Issues Videos &gt; Myth vs. Reality: Most Cases go to Trial</w:t>
      </w:r>
    </w:p>
    <w:p w:rsidR="00EB7845" w:rsidRPr="00EB7845" w:rsidRDefault="00EB7845" w:rsidP="00EB7845">
      <w:pPr>
        <w:numPr>
          <w:ilvl w:val="0"/>
          <w:numId w:val="1"/>
        </w:numPr>
      </w:pPr>
      <w:r w:rsidRPr="00EB7845">
        <w:t>Chapter 9: Pre-Trial Activities and the Criminal Trial &gt; Myths &amp; Issues Videos &gt; Issue 1: Plea Bargaining: The Pros and Cons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C82"/>
    <w:multiLevelType w:val="multilevel"/>
    <w:tmpl w:val="D5EA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7845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B7845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B7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2019-09-03T07:05:00Z</dcterms:created>
  <dcterms:modified xsi:type="dcterms:W3CDTF">2019-09-03T07:06:00Z</dcterms:modified>
</cp:coreProperties>
</file>